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A0D6B" w14:textId="77777777" w:rsidR="008911CF" w:rsidRDefault="008911CF" w:rsidP="00891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26C59" w14:textId="643E4A9E" w:rsidR="00F25E30" w:rsidRPr="00873D8B" w:rsidRDefault="00F25E30" w:rsidP="008911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3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14:paraId="05970F56" w14:textId="0DC9B4BB" w:rsidR="00BF6162" w:rsidRPr="00873D8B" w:rsidRDefault="00BF6162" w:rsidP="008911CF">
      <w:pPr>
        <w:spacing w:after="0" w:line="240" w:lineRule="auto"/>
        <w:ind w:left="3540" w:firstLine="708"/>
        <w:rPr>
          <w:rFonts w:ascii="Times New Roman" w:hAnsi="Times New Roman" w:cs="Times New Roman"/>
          <w:color w:val="000000" w:themeColor="text1"/>
        </w:rPr>
      </w:pPr>
      <w:r w:rsidRPr="00873D8B">
        <w:rPr>
          <w:rFonts w:ascii="Times New Roman" w:hAnsi="Times New Roman" w:cs="Times New Roman"/>
          <w:color w:val="000000" w:themeColor="text1"/>
        </w:rPr>
        <w:t xml:space="preserve">решением Общего собрания ОЮЛ </w:t>
      </w:r>
      <w:r w:rsidR="008911CF" w:rsidRPr="00873D8B">
        <w:rPr>
          <w:rFonts w:ascii="Times New Roman" w:hAnsi="Times New Roman" w:cs="Times New Roman"/>
          <w:color w:val="000000" w:themeColor="text1"/>
        </w:rPr>
        <w:t>«</w:t>
      </w:r>
      <w:r w:rsidRPr="00873D8B">
        <w:rPr>
          <w:rFonts w:ascii="Times New Roman" w:hAnsi="Times New Roman" w:cs="Times New Roman"/>
          <w:color w:val="000000" w:themeColor="text1"/>
        </w:rPr>
        <w:t>Ассоциации</w:t>
      </w:r>
    </w:p>
    <w:p w14:paraId="390BCFF3" w14:textId="77777777" w:rsidR="003C336B" w:rsidRPr="00873D8B" w:rsidRDefault="00BF6162" w:rsidP="003C336B">
      <w:pPr>
        <w:spacing w:after="0" w:line="240" w:lineRule="auto"/>
        <w:ind w:left="3540" w:firstLine="708"/>
        <w:rPr>
          <w:rStyle w:val="a4"/>
          <w:rFonts w:ascii="Times New Roman" w:hAnsi="Times New Roman" w:cs="Times New Roman"/>
          <w:color w:val="000000" w:themeColor="text1"/>
        </w:rPr>
      </w:pPr>
      <w:r w:rsidRPr="00873D8B">
        <w:rPr>
          <w:rFonts w:ascii="Times New Roman" w:hAnsi="Times New Roman" w:cs="Times New Roman"/>
          <w:color w:val="000000" w:themeColor="text1"/>
        </w:rPr>
        <w:t>стоимостного инжиниринга Казахстана</w:t>
      </w:r>
      <w:r w:rsidRPr="00873D8B">
        <w:rPr>
          <w:rStyle w:val="a4"/>
          <w:rFonts w:ascii="Times New Roman" w:hAnsi="Times New Roman" w:cs="Times New Roman"/>
          <w:color w:val="000000" w:themeColor="text1"/>
        </w:rPr>
        <w:t>»</w:t>
      </w:r>
    </w:p>
    <w:p w14:paraId="6E3B98D5" w14:textId="149BD374" w:rsidR="003C336B" w:rsidRPr="00873D8B" w:rsidRDefault="003C336B" w:rsidP="003C336B">
      <w:pPr>
        <w:spacing w:after="0" w:line="240" w:lineRule="auto"/>
        <w:ind w:left="3540" w:firstLine="708"/>
        <w:rPr>
          <w:rStyle w:val="a4"/>
          <w:rFonts w:ascii="Times New Roman" w:hAnsi="Times New Roman" w:cs="Times New Roman"/>
          <w:color w:val="000000" w:themeColor="text1"/>
        </w:rPr>
      </w:pPr>
      <w:r w:rsidRPr="00873D8B">
        <w:rPr>
          <w:rStyle w:val="a4"/>
          <w:rFonts w:ascii="Times New Roman" w:hAnsi="Times New Roman" w:cs="Times New Roman"/>
          <w:b w:val="0"/>
          <w:bCs w:val="0"/>
          <w:color w:val="000000" w:themeColor="text1"/>
        </w:rPr>
        <w:t xml:space="preserve">Протокол №2 от «25» февраля 2026г.  </w:t>
      </w:r>
    </w:p>
    <w:p w14:paraId="22FF8231" w14:textId="3D2502B8" w:rsidR="007D2414" w:rsidRPr="00873D8B" w:rsidRDefault="003C336B" w:rsidP="003C336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3D8B">
        <w:rPr>
          <w:rStyle w:val="a4"/>
          <w:rFonts w:ascii="Times New Roman" w:hAnsi="Times New Roman" w:cs="Times New Roman"/>
          <w:b w:val="0"/>
          <w:bCs w:val="0"/>
          <w:color w:val="000000" w:themeColor="text1"/>
        </w:rPr>
        <w:t>Приложение к протоколу №4</w:t>
      </w:r>
    </w:p>
    <w:p w14:paraId="4A5AEDA9" w14:textId="77777777" w:rsidR="00F25E30" w:rsidRPr="00292002" w:rsidRDefault="00F25E30" w:rsidP="00F25E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E01B5" w14:textId="77777777" w:rsidR="001A03A8" w:rsidRDefault="001A03A8" w:rsidP="001A0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F36313" w14:textId="2574A516" w:rsidR="001A03A8" w:rsidRDefault="00F25E30" w:rsidP="001A0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0FB9">
        <w:rPr>
          <w:rFonts w:ascii="Times New Roman" w:hAnsi="Times New Roman" w:cs="Times New Roman"/>
          <w:b/>
          <w:bCs/>
          <w:sz w:val="32"/>
          <w:szCs w:val="32"/>
        </w:rPr>
        <w:t>ПОЛОЖЕНИЕ О ЧЛЕНСКИХ ВЗНОСАХ</w:t>
      </w:r>
      <w:r w:rsidR="00720FB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A4C82F4" w14:textId="61C1E176" w:rsidR="00B2658C" w:rsidRPr="00292002" w:rsidRDefault="00F25E30" w:rsidP="001A0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ОЮЛ «Ассоциация стоимостного инжиниринга Казахстана» </w:t>
      </w:r>
    </w:p>
    <w:p w14:paraId="6448C991" w14:textId="77777777" w:rsidR="00B2658C" w:rsidRPr="00292002" w:rsidRDefault="00B2658C" w:rsidP="00B2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B47D" w14:textId="77777777" w:rsidR="00F25E30" w:rsidRPr="00292002" w:rsidRDefault="00F25E30" w:rsidP="00B2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Термины и определения</w:t>
      </w:r>
    </w:p>
    <w:p w14:paraId="0D3E0012" w14:textId="2C763E32" w:rsidR="00F25E30" w:rsidRPr="00292002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«Ассоциация», «АСИК»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ОЮЛ «Ассоциация стоимостного инжиниринга Казахстана». </w:t>
      </w:r>
    </w:p>
    <w:p w14:paraId="1E957228" w14:textId="24C10D17" w:rsidR="00F25E30" w:rsidRPr="00292002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«Член»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юридическое лицо, принятое в состав Ассоциации в установленном порядке.</w:t>
      </w:r>
    </w:p>
    <w:p w14:paraId="6649242C" w14:textId="09904442" w:rsidR="00F25E30" w:rsidRPr="00292002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«Членский взнос»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 фиксированный платёж, уплачиваемый Членом в пользу Ассоциации для финансиро</w:t>
      </w:r>
      <w:r w:rsidR="003A0F35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её уставной деятельности, 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оплатой товаров, работ или услуг. </w:t>
      </w:r>
    </w:p>
    <w:p w14:paraId="1EFD9C4E" w14:textId="0A2FAB8D" w:rsidR="00F25E30" w:rsidRPr="00292002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«Категория бизнеса»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принадлежность Члена к субъектам малого, среднего либо крупного предпринимательства в соответствии с законодательством Республики Казахстан.</w:t>
      </w:r>
    </w:p>
    <w:p w14:paraId="22A3FB3A" w14:textId="4EDA7C3C" w:rsidR="00B247A0" w:rsidRPr="00292002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«Календарный год»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1 января по 31 декабря соответствующего года. </w:t>
      </w:r>
    </w:p>
    <w:p w14:paraId="02621A88" w14:textId="6575C28E" w:rsidR="00F25E30" w:rsidRPr="00292002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«Срок уплаты»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предельная календарная дата внесения членского взноса, установленная настоящим Положением. </w:t>
      </w:r>
    </w:p>
    <w:p w14:paraId="08A07DBF" w14:textId="41AC94CE" w:rsidR="00F25E30" w:rsidRPr="00292002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«Дата уплаты»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зачисления денежных средств на расчётный счёт Ассоциации.</w:t>
      </w:r>
    </w:p>
    <w:p w14:paraId="1004AD8F" w14:textId="3855A8CE" w:rsidR="00B2658C" w:rsidRPr="00997F65" w:rsidRDefault="00F47D8D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C6457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«Уведомление»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сообщение Ассоциации Члену в форме и способом,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предусмотренными учредительными документами Ассоциации.</w:t>
      </w:r>
    </w:p>
    <w:p w14:paraId="1E82EEA7" w14:textId="7FB04A97" w:rsidR="009F5B8F" w:rsidRPr="00997F65" w:rsidRDefault="00F47D8D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F5B8F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«IV квартал»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5B8F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1 </w:t>
      </w:r>
      <w:r w:rsidR="00DA473D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9F5B8F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соответствующего года.</w:t>
      </w:r>
    </w:p>
    <w:p w14:paraId="46E9435F" w14:textId="77777777" w:rsidR="00B2658C" w:rsidRPr="00997F65" w:rsidRDefault="00B2658C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A5B1A" w14:textId="77777777" w:rsidR="00F25E30" w:rsidRPr="00997F65" w:rsidRDefault="00F25E30" w:rsidP="00B2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Общие положения</w:t>
      </w:r>
    </w:p>
    <w:p w14:paraId="5715F6D2" w14:textId="5A48FB3D" w:rsidR="00F25E30" w:rsidRPr="00997F65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Настоящее Положение определяет размеры, сроки и порядок уплаты членских взносов Членами ОЮЛ «АСИК», а также последствия неисполнения обязанности по их уплате. </w:t>
      </w:r>
    </w:p>
    <w:p w14:paraId="00AAB23B" w14:textId="5C8D8163" w:rsidR="00F25E30" w:rsidRPr="00997F65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Положение разработано во исполнение раздела 7 Устава ОЮЛ «АСИК»</w:t>
      </w:r>
      <w:r w:rsidR="00B13F0E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Законом РК «О некоммерческих организациях»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</w:t>
      </w:r>
      <w:r w:rsidR="00D12A6E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актом Ассоциации, обязательным для всех Членов. </w:t>
      </w:r>
    </w:p>
    <w:p w14:paraId="2F84300A" w14:textId="51A0544C" w:rsidR="00F25E30" w:rsidRPr="00997F65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Вступительные и целевые взносы (если применяются) устанавливаются и регулируются отдельными актами Ассоциации. </w:t>
      </w:r>
    </w:p>
    <w:p w14:paraId="7D33C8B8" w14:textId="1E663231" w:rsidR="008C6457" w:rsidRPr="00292002" w:rsidRDefault="00F47D8D" w:rsidP="008C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Средства от членских взносов не являются оплатой товаров, работ или услуг и направляются исключительно на уставные цели Ассоциации.</w:t>
      </w:r>
    </w:p>
    <w:p w14:paraId="46A8456C" w14:textId="77777777" w:rsidR="008C6457" w:rsidRPr="00997F65" w:rsidRDefault="008C6457" w:rsidP="008C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C2B28" w14:textId="77777777" w:rsidR="00F25E30" w:rsidRPr="00997F65" w:rsidRDefault="00F25E30" w:rsidP="008C6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Категории членов</w:t>
      </w:r>
    </w:p>
    <w:p w14:paraId="76907F16" w14:textId="0ECEC0ED" w:rsidR="00F25E30" w:rsidRPr="00997F65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Для целей определения размера членского взноса члены Ассоциации подразделяются на категории: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малый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крупный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бизнес. </w:t>
      </w:r>
    </w:p>
    <w:p w14:paraId="20685BDE" w14:textId="2CCC0B5B" w:rsidR="00F25E30" w:rsidRPr="00997F65" w:rsidRDefault="00F47D8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5F2169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категории бизнеса члены Ассоциации предоставляют справку о категории субъекта предпринимательства, сформированную на основе данных Реестра субъектов предпринимательства в порядке, установленном законодательством Республики Казахстан.</w:t>
      </w:r>
    </w:p>
    <w:p w14:paraId="5E990446" w14:textId="2ADC71EF" w:rsidR="008C6457" w:rsidRPr="00997F65" w:rsidRDefault="00F47D8D" w:rsidP="008C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 отсутствии подтверждающих документов член временно относится к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высокой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спорных категорий до представления подтверждения.</w:t>
      </w:r>
    </w:p>
    <w:p w14:paraId="2F45ED36" w14:textId="77777777" w:rsidR="008C6457" w:rsidRPr="00997F65" w:rsidRDefault="008C6457" w:rsidP="008C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A0D28" w14:textId="45A8CC9D" w:rsidR="00F25E30" w:rsidRPr="00997F65" w:rsidRDefault="00EA4F03" w:rsidP="008C6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8C6457"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Размеры членского взноса</w:t>
      </w:r>
    </w:p>
    <w:p w14:paraId="1EC77786" w14:textId="59BBAA8F" w:rsidR="00F25E30" w:rsidRPr="00997F65" w:rsidRDefault="00DA473D" w:rsidP="00A608D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Устанавливаются следующие ежегодные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фиксированные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членского взноса:</w:t>
      </w:r>
    </w:p>
    <w:p w14:paraId="654107CD" w14:textId="6670401E" w:rsidR="00F25E30" w:rsidRPr="00997F65" w:rsidRDefault="00DA473D" w:rsidP="00A608D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субъекты малого предпринимательства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113D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3 000 000</w:t>
      </w:r>
      <w:r w:rsidR="00F15442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442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EA4F03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миллиона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тенге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D51F30" w14:textId="156BE859" w:rsidR="00F25E30" w:rsidRPr="00997F65" w:rsidRDefault="006A113D" w:rsidP="00A608D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A473D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субъекты среднего предпринимательства</w:t>
      </w:r>
      <w:r w:rsidR="00A608DC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442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6 000 000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15442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 миллионов)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тенге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1A3481" w14:textId="4BD36AF6" w:rsidR="00F25E30" w:rsidRPr="00997F65" w:rsidRDefault="00DA473D" w:rsidP="00A608D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.1.3.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субъекты крупного предпринимательства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442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000 000 (</w:t>
      </w:r>
      <w:r w:rsidR="00EA4F03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двенадцать</w:t>
      </w:r>
      <w:r w:rsidR="00F15442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миллион</w:t>
      </w:r>
      <w:r w:rsidR="00EA4F03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тенге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5CF7F4" w14:textId="107D6437" w:rsidR="00F25E30" w:rsidRPr="00997F65" w:rsidRDefault="00DA473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.2. Указанные размеры применяются в отношении соответствующего календарного года. Для членов, полностью уплативших членский взнос за текущий год, внесение изменений размеров в течение года н</w:t>
      </w:r>
      <w:r w:rsidR="003A0F3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влечёт доначислений/возвратов,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размеры применяются к членам, вступающим после даты изменения, и к членам, не уплатившим взнос на момент изменения. </w:t>
      </w:r>
    </w:p>
    <w:p w14:paraId="490D41D3" w14:textId="2FE3FE60" w:rsidR="00DA473D" w:rsidRPr="00997F65" w:rsidRDefault="00DA473D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В течение одного календарного года размеры членского взноса могут корректироваться приказом Президента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двух раз</w:t>
      </w:r>
      <w:r w:rsidR="00AF2668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F2668" w:rsidRPr="00997F65">
        <w:t xml:space="preserve"> </w:t>
      </w:r>
      <w:r w:rsidR="00AF2668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вступают в силу с 1-го числа месяца, следующего за датой публикации приказа на официальном сайте Ассоциации и направления уведомления членам Ассоциации. Указанные изменения не имеют обратной силы и не распространяются на периоды, предшествующие дате их вступления в силу.</w:t>
      </w:r>
    </w:p>
    <w:p w14:paraId="2ED1753D" w14:textId="69C602F5" w:rsidR="00B2658C" w:rsidRPr="00997F65" w:rsidRDefault="00AF2668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A473D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Информация о размерах членских взносов размещается на официальном сайте Ассоциации в течение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(десяти) календарных дней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их утверждения.</w:t>
      </w:r>
    </w:p>
    <w:p w14:paraId="2DF3C918" w14:textId="14A20E10" w:rsidR="003C0B0D" w:rsidRPr="00997F65" w:rsidRDefault="003C0B0D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.5. Размер членских взносов ежегодно устанавливается с учётом бюджета Ассоциации</w:t>
      </w:r>
      <w:r w:rsidR="00D847F7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8B60BB" w14:textId="76F9BA42" w:rsidR="00B2658C" w:rsidRPr="00997F65" w:rsidRDefault="00AF2668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A3A4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B0D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решения уставных задач по представлению Президента Ассоциации Общее собрание имеет право принять решение о необходимости установления дополнительных членских взносов, не отнесенных к видам, установленным взносам. Решение о введении дополнительных взносов вступает в силу после его принятия.</w:t>
      </w:r>
    </w:p>
    <w:p w14:paraId="64B1721E" w14:textId="77777777" w:rsidR="00AF2668" w:rsidRPr="00997F65" w:rsidRDefault="00AF2668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AA8EB" w14:textId="66231A25" w:rsidR="00F25E30" w:rsidRPr="00292002" w:rsidRDefault="00EA4F03" w:rsidP="00B2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F25E30" w:rsidRPr="0029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и сроки уплаты</w:t>
      </w:r>
    </w:p>
    <w:p w14:paraId="4DFF280C" w14:textId="32AD1B78" w:rsidR="00F25E30" w:rsidRDefault="000D0BF5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3A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A4F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Членский взнос уплачивается </w:t>
      </w:r>
      <w:r w:rsidR="00F25E30" w:rsidRPr="0029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раз в год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фиксированном размере согласно п. </w:t>
      </w:r>
      <w:r w:rsidR="001070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настоящего Положения. </w:t>
      </w:r>
    </w:p>
    <w:p w14:paraId="50B024AF" w14:textId="42F65CF2" w:rsidR="00F25E30" w:rsidRPr="00997F65" w:rsidRDefault="007302DB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1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Оплата членского взноса действует </w:t>
      </w:r>
      <w:r w:rsidR="00F25E30" w:rsidRPr="0029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31 декабря</w:t>
      </w:r>
      <w:r w:rsidR="00F25E30" w:rsidRPr="0029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календарного года, в котором взнос зачислен на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расчётный счёт Ассоциации. </w:t>
      </w:r>
    </w:p>
    <w:p w14:paraId="385DA604" w14:textId="68B86680" w:rsidR="005C4C34" w:rsidRPr="00997F65" w:rsidRDefault="005F196A" w:rsidP="005C4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2DAE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C4C34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47F7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4C34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впервые принятых в члены Ассоциации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="005C4C34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членский взнос уплачивается в течение 3 (трех) рабочих дней со дня принятия решения компетентным органом Ассоциации о приёме в члены.  </w:t>
      </w:r>
    </w:p>
    <w:p w14:paraId="107C1CA0" w14:textId="2D386B50" w:rsidR="00F25E30" w:rsidRPr="00997F65" w:rsidRDefault="009124EC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12DAE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02DB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зачислении членского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взноса в период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ноября по 31 декабря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 взнос считается оплаченным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31 декабря следующего календарного года,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членство активируется с даты зачисления взноса. </w:t>
      </w:r>
    </w:p>
    <w:p w14:paraId="62E330D8" w14:textId="2D7B93D9" w:rsidR="00F25E30" w:rsidRPr="00997F65" w:rsidRDefault="009124EC" w:rsidP="00F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2DAE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Срок уплаты членского взноса на очередной год —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31 января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года. Для членов, на которых распространяется п. 5.3, срок следующей уплаты </w:t>
      </w:r>
      <w:r w:rsidR="00E714D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31 января года, следующего за окончанием продлённого периода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0D5B379" w14:textId="5220CBD1" w:rsidR="00B2658C" w:rsidRPr="00997F65" w:rsidRDefault="009124EC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12DAE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Оплата производится безналичным переводом на расчётный счёт Ассоциации. В назначении платежа указываются: «членский взнос, за ___ год, ОЮЛ «АСИК», от (наименование члена)».</w:t>
      </w:r>
    </w:p>
    <w:p w14:paraId="46DF5BF5" w14:textId="2DF4415C" w:rsidR="007A6031" w:rsidRPr="00997F65" w:rsidRDefault="009124EC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12DAE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0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6031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.7. Взносы, уплачиваются членами (участниками) Ассоциации самостоятельно. Уплата указанных взносов в счет члена (участника) Ассоциации третьим лицом осуществляется по согласованию с Президентом Ассоциации.</w:t>
      </w:r>
    </w:p>
    <w:p w14:paraId="6152FD1A" w14:textId="77777777" w:rsidR="00B2658C" w:rsidRPr="00997F65" w:rsidRDefault="00B2658C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4A79C" w14:textId="129CECCD" w:rsidR="00F25E30" w:rsidRPr="00997F65" w:rsidRDefault="001070A7" w:rsidP="00B2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F25E30"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Изменение категории</w:t>
      </w:r>
    </w:p>
    <w:p w14:paraId="5E5EEB5B" w14:textId="4E356EC7" w:rsidR="001946DC" w:rsidRPr="00997F65" w:rsidRDefault="00E714D3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A285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Изменение категории члена (повышение/понижение) применяется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1-го числа месяца, следующего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месяцем возникновения оснований, подтверждённых документально. </w:t>
      </w:r>
    </w:p>
    <w:p w14:paraId="7A77DA2C" w14:textId="3C85B58A" w:rsidR="001946DC" w:rsidRPr="00997F65" w:rsidRDefault="00E714D3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A285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повышении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производится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доплата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членского взноса за оставшийся период года по новым ставкам. </w:t>
      </w:r>
    </w:p>
    <w:p w14:paraId="62F9BB33" w14:textId="36CCCCB7" w:rsidR="00B2658C" w:rsidRPr="00997F65" w:rsidRDefault="00E714D3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A285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При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понижении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переплата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возвращается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применяются с 1-го числа месяца, следующего за датой документального подтверждения основания для изменения категории.</w:t>
      </w:r>
    </w:p>
    <w:p w14:paraId="218F7F0D" w14:textId="77777777" w:rsidR="00B2658C" w:rsidRPr="00997F65" w:rsidRDefault="00B2658C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9E24D" w14:textId="3A930991" w:rsidR="00F25E30" w:rsidRPr="00997F65" w:rsidRDefault="001070A7" w:rsidP="00B2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F25E30"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Неисполнение обязанности по уплате</w:t>
      </w:r>
    </w:p>
    <w:p w14:paraId="2B3B6FE0" w14:textId="6155AC26" w:rsidR="001946DC" w:rsidRPr="00997F65" w:rsidRDefault="009124EC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714D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285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Неисполнением обязанности по уплате членского взноса признаётся отсутствие уплаты </w:t>
      </w:r>
      <w:r w:rsidR="00D01ABF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членского взноса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настоящим Положением </w:t>
      </w:r>
      <w:r w:rsidR="00D01ABF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рок. </w:t>
      </w:r>
    </w:p>
    <w:p w14:paraId="223FBE4B" w14:textId="3339C5CD" w:rsidR="001946DC" w:rsidRPr="00997F65" w:rsidRDefault="009124EC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12DAE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285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Просрочка свыше 10 (десяти) календарных дней со дня наступления </w:t>
      </w:r>
      <w:r w:rsidR="00E714D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рока уплаты является основанием для исключения </w:t>
      </w:r>
      <w:r w:rsidR="00E714D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лена из состава Ассоциации в порядке, установленном Уставом и Положением о членстве. </w:t>
      </w:r>
    </w:p>
    <w:p w14:paraId="0273F587" w14:textId="4B88042F" w:rsidR="00B2658C" w:rsidRPr="00997F65" w:rsidRDefault="009124EC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12DAE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285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396FE2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исключения </w:t>
      </w:r>
      <w:r w:rsidR="00E714D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96FE2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лену направляется уведомление с указанием причины. Член вправе устранить нарушение в течение 10 календарных дней. В случае не</w:t>
      </w:r>
      <w:r w:rsidR="0051033D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FE2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нарушения Президент Ассоциации принимает решение об исключении Члена Ассоциации</w:t>
      </w:r>
      <w:r w:rsidR="0051033D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Положением о Членстве ОЮЛ «АСИК».</w:t>
      </w:r>
    </w:p>
    <w:p w14:paraId="1F05065E" w14:textId="77777777" w:rsidR="00AF15A6" w:rsidRPr="00997F65" w:rsidRDefault="00AF15A6" w:rsidP="00C35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83AE2" w14:textId="6C56873A" w:rsidR="00F25E30" w:rsidRPr="00997F65" w:rsidRDefault="00AF3C8C" w:rsidP="00B2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F25E30"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Возвраты и корректировки</w:t>
      </w:r>
    </w:p>
    <w:p w14:paraId="4CE7A8F9" w14:textId="750488F1" w:rsidR="001946DC" w:rsidRPr="00997F65" w:rsidRDefault="003A3A43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A285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Членские взносы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невозвратны</w:t>
      </w:r>
      <w:r w:rsidR="001070A7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 выходе/исключении, за исключением случаев очевидной технической переплаты (двукратный платёж и т.п.). </w:t>
      </w:r>
    </w:p>
    <w:p w14:paraId="6E4A2D20" w14:textId="75F2DE1E" w:rsidR="00B2658C" w:rsidRPr="00997F65" w:rsidRDefault="003A3A43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A285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Возврат излишне уплаченных сумм производится по письменному заявлению плательщика в течение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рабочих дней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подтверждения Ассоциацией.</w:t>
      </w:r>
    </w:p>
    <w:p w14:paraId="2EB20835" w14:textId="77777777" w:rsidR="00B2658C" w:rsidRPr="00997F65" w:rsidRDefault="00B2658C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19C29" w14:textId="04C71617" w:rsidR="00F25E30" w:rsidRPr="00997F65" w:rsidRDefault="00AF3C8C" w:rsidP="00B2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F25E30"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Учёт, отчётность и контроль</w:t>
      </w:r>
    </w:p>
    <w:p w14:paraId="1600D8F8" w14:textId="554132ED" w:rsidR="001946DC" w:rsidRPr="00997F65" w:rsidRDefault="003A3A43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A285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Учёт поступлений и расходования средств от членских взносов ведётся раздельно. </w:t>
      </w:r>
    </w:p>
    <w:p w14:paraId="3990502D" w14:textId="3A54AE9E" w:rsidR="001946DC" w:rsidRPr="00997F65" w:rsidRDefault="003A3A43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A285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До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апреля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отчётным, Президент представляет Общему собранию отчёт о поступлении и расходо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вании средств членских взносов,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версия отчёта размещается на сайте Ассоциации. </w:t>
      </w:r>
    </w:p>
    <w:p w14:paraId="70609D05" w14:textId="7517304C" w:rsidR="00B2658C" w:rsidRPr="00997F65" w:rsidRDefault="003A3A43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F3C8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Ревизионная комиссия/ревизор вправе проводить проверки правильности начисления и расходования средств членских взносов в порядке, установленном учредительными документами.</w:t>
      </w:r>
    </w:p>
    <w:p w14:paraId="2833DB3A" w14:textId="77777777" w:rsidR="001070A7" w:rsidRPr="00997F65" w:rsidRDefault="001070A7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868EE" w14:textId="789850C2" w:rsidR="00F25E30" w:rsidRPr="00997F65" w:rsidRDefault="00F25E30" w:rsidP="0010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Добровольные имущественные взносы и пожертвования</w:t>
      </w:r>
    </w:p>
    <w:p w14:paraId="1195C44D" w14:textId="77777777" w:rsidR="001070A7" w:rsidRPr="00997F65" w:rsidRDefault="001070A7" w:rsidP="00A1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E3631" w14:textId="09D0C9D3" w:rsidR="001946DC" w:rsidRPr="00997F65" w:rsidRDefault="003A3A43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Ассоциация вправе принимать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добровольные имущественные взносы и пожертвования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членов Ассоциации, а также от иных физических и юридических лиц, резидентов и нерезидентов РК, при соблюдении требований законодательства РК и учредительных документов Ассоциации. </w:t>
      </w:r>
    </w:p>
    <w:p w14:paraId="7391FDCB" w14:textId="5FC6F1DB" w:rsidR="001946DC" w:rsidRPr="00997F65" w:rsidRDefault="003A3A43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Добровольные имущественные взносы и пожертвования мо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 включать: денежные средства,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движимое и недвижимое имущество (оборудование, транспорт, материалы и 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др.),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имущественные права и права требования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исключительные или неисключительные права на результаты интеллектуальной деятельности (в т.ч. ПО, базы данных, методики) 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лицензии на их использование,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безвозмездное выполнение работ/оказание услуг</w:t>
      </w:r>
      <w:r w:rsidR="00F25E30"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оформлением соответствующих актов. </w:t>
      </w:r>
    </w:p>
    <w:p w14:paraId="42C248A9" w14:textId="263DBB52" w:rsidR="001946DC" w:rsidRPr="00997F65" w:rsidRDefault="003A3A43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Пожертвование может иметь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целевое назначение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Такое пожертвование расходуется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строго по назначению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отсутствии указания цели пожертвование учитывается как нецелевое и направляется на уставные цели по решению Президента Ассоциации. </w:t>
      </w:r>
    </w:p>
    <w:p w14:paraId="326A553C" w14:textId="4A649A2A" w:rsidR="001946DC" w:rsidRPr="00997F65" w:rsidRDefault="003A3A43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2DAE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ожертвования принимаются решением Президента Ассоциации либо уполномоченного им лица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Уставом и/или законодательством (например, при принятии недвижимого имущества, особо ценного имущества и т.п.) — решением компетентного органа Ассоциации. Ассоциация вправе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отказать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принятии пожертвования без объяснения причин, если условия по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жертвования противоречат Уставу, закону и/или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 Ассоциации. </w:t>
      </w:r>
    </w:p>
    <w:p w14:paraId="3454B078" w14:textId="5CADB1B4" w:rsidR="001946DC" w:rsidRPr="00997F65" w:rsidRDefault="00A12DAE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1946D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имущества определяется по документам дарителя (договор, накладная, акт, отчёт об оценке). При отсутствии документов допускается независимая оценка либо </w:t>
      </w:r>
      <w:r w:rsidR="009A4B1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определяется на основании рыночных цен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Президента. Учёт пожертвований ведётся раздельно, с оформлением первичных документов и </w:t>
      </w:r>
      <w:r w:rsidR="009A4B13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B0257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последующим отражением в бухгалтерской отчетности в соответствии с требованиями законодательства и нормативных актов бухгалтерского учета.</w:t>
      </w:r>
    </w:p>
    <w:p w14:paraId="5DF5341B" w14:textId="7084CDC2" w:rsidR="00624D40" w:rsidRPr="00997F65" w:rsidRDefault="00A12DAE" w:rsidP="0019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624D4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Ассоциация принимает пожертвования только при условии, что источник средств или имущества не вызывает сомнений в его законности и не противоречит уставной деятельности, при этом Ассоциация вправе запрашивать у доноров документы и сведения, необходимые для проверки поступлений, и отказать в приёме при </w:t>
      </w:r>
      <w:r w:rsidR="006D7EFA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="00624D40"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сомнени</w:t>
      </w:r>
      <w:r w:rsidR="006D7EFA"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D4765A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4BC5C5" w14:textId="0DE4AD88" w:rsidR="00B2658C" w:rsidRPr="00997F65" w:rsidRDefault="00A12DAE" w:rsidP="00B26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Ассоциация публикует в годовом отчёте сведения о полученных пожертвованиях (в объёме, не нарушающем требования конфиденциальности/персональных данных). По решению Президента допускается публичное признание дарителей (размещение логотипов, благодарственных писем и т.п.), </w:t>
      </w:r>
      <w:r w:rsidR="007C359D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согласия дарителя и,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не противоречит целям и Уставу Ассоциации.</w:t>
      </w:r>
    </w:p>
    <w:p w14:paraId="4B2CEDA0" w14:textId="2F1F20E3" w:rsidR="00F25E30" w:rsidRPr="00997F65" w:rsidRDefault="00F25E30" w:rsidP="00B2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997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14:paraId="15A4FB0E" w14:textId="46E48D62" w:rsidR="003A0F35" w:rsidRPr="00997F65" w:rsidRDefault="00A12DAE" w:rsidP="003A0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Настоящее Положение вступает в силу с даты его утверждения приказом Президента Ассоциации и </w:t>
      </w:r>
      <w:r w:rsidR="00F25E30" w:rsidRPr="00997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действует в течение 1 (одного) года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этой даты. </w:t>
      </w:r>
    </w:p>
    <w:p w14:paraId="6B26BA9E" w14:textId="23311887" w:rsidR="00F25E30" w:rsidRPr="00997F65" w:rsidRDefault="00A12DAE" w:rsidP="003A0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3C8C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противоречия между настоящим Положением и Ус</w:t>
      </w:r>
      <w:r w:rsidR="003A0F35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тавом применяются нормы Устава, </w:t>
      </w:r>
      <w:r w:rsidR="00F25E30" w:rsidRPr="009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противоречии с законодательством РК применяются нормы законодательства РК.</w:t>
      </w:r>
    </w:p>
    <w:p w14:paraId="653D02F9" w14:textId="2A972505" w:rsidR="00625E21" w:rsidRPr="00997F65" w:rsidRDefault="00625E21" w:rsidP="00C356B6">
      <w:pPr>
        <w:pStyle w:val="22"/>
        <w:shd w:val="clear" w:color="auto" w:fill="auto"/>
        <w:tabs>
          <w:tab w:val="left" w:pos="1525"/>
        </w:tabs>
        <w:jc w:val="both"/>
        <w:rPr>
          <w:highlight w:val="yellow"/>
        </w:rPr>
      </w:pPr>
    </w:p>
    <w:p w14:paraId="58114B69" w14:textId="77777777" w:rsidR="00625E21" w:rsidRPr="00F25E30" w:rsidRDefault="00625E21" w:rsidP="003A0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5E21" w:rsidRPr="00F25E30" w:rsidSect="0000666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F3A70" w14:textId="77777777" w:rsidR="00B1759A" w:rsidRDefault="00B1759A" w:rsidP="00006668">
      <w:pPr>
        <w:spacing w:after="0" w:line="240" w:lineRule="auto"/>
      </w:pPr>
      <w:r>
        <w:separator/>
      </w:r>
    </w:p>
  </w:endnote>
  <w:endnote w:type="continuationSeparator" w:id="0">
    <w:p w14:paraId="3E975AEC" w14:textId="77777777" w:rsidR="00B1759A" w:rsidRDefault="00B1759A" w:rsidP="0000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823506"/>
      <w:docPartObj>
        <w:docPartGallery w:val="Page Numbers (Bottom of Page)"/>
        <w:docPartUnique/>
      </w:docPartObj>
    </w:sdtPr>
    <w:sdtEndPr/>
    <w:sdtContent>
      <w:p w14:paraId="54E4DCE2" w14:textId="2AFD56E8" w:rsidR="00006668" w:rsidRDefault="000066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D06310" w14:textId="77777777" w:rsidR="00006668" w:rsidRDefault="000066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68021" w14:textId="77777777" w:rsidR="00B1759A" w:rsidRDefault="00B1759A" w:rsidP="00006668">
      <w:pPr>
        <w:spacing w:after="0" w:line="240" w:lineRule="auto"/>
      </w:pPr>
      <w:r>
        <w:separator/>
      </w:r>
    </w:p>
  </w:footnote>
  <w:footnote w:type="continuationSeparator" w:id="0">
    <w:p w14:paraId="1FAB8F69" w14:textId="77777777" w:rsidR="00B1759A" w:rsidRDefault="00B1759A" w:rsidP="00006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059A0"/>
    <w:multiLevelType w:val="multilevel"/>
    <w:tmpl w:val="169A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A1A9D"/>
    <w:multiLevelType w:val="multilevel"/>
    <w:tmpl w:val="7720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70A70"/>
    <w:multiLevelType w:val="multilevel"/>
    <w:tmpl w:val="2EAA86D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F2"/>
    <w:rsid w:val="00006668"/>
    <w:rsid w:val="000B5210"/>
    <w:rsid w:val="000D0BF5"/>
    <w:rsid w:val="001070A7"/>
    <w:rsid w:val="001946DC"/>
    <w:rsid w:val="001A03A8"/>
    <w:rsid w:val="001C7C5D"/>
    <w:rsid w:val="001D76AB"/>
    <w:rsid w:val="00223B91"/>
    <w:rsid w:val="00273970"/>
    <w:rsid w:val="00292002"/>
    <w:rsid w:val="00341E99"/>
    <w:rsid w:val="00396FE2"/>
    <w:rsid w:val="003A0F35"/>
    <w:rsid w:val="003A2855"/>
    <w:rsid w:val="003A3A43"/>
    <w:rsid w:val="003C0B0D"/>
    <w:rsid w:val="003C336B"/>
    <w:rsid w:val="004008C3"/>
    <w:rsid w:val="004432C0"/>
    <w:rsid w:val="004E14BC"/>
    <w:rsid w:val="0051033D"/>
    <w:rsid w:val="00542C1E"/>
    <w:rsid w:val="00595C6B"/>
    <w:rsid w:val="005C4C34"/>
    <w:rsid w:val="005E0D04"/>
    <w:rsid w:val="005F196A"/>
    <w:rsid w:val="005F2169"/>
    <w:rsid w:val="00624D40"/>
    <w:rsid w:val="00625E21"/>
    <w:rsid w:val="006A113D"/>
    <w:rsid w:val="006D7EFA"/>
    <w:rsid w:val="00720FB9"/>
    <w:rsid w:val="007302DB"/>
    <w:rsid w:val="007343E0"/>
    <w:rsid w:val="007A6031"/>
    <w:rsid w:val="007A6C7D"/>
    <w:rsid w:val="007C359D"/>
    <w:rsid w:val="007C6E8E"/>
    <w:rsid w:val="007D2414"/>
    <w:rsid w:val="00812456"/>
    <w:rsid w:val="00873D8B"/>
    <w:rsid w:val="008751DA"/>
    <w:rsid w:val="008911CF"/>
    <w:rsid w:val="008C6457"/>
    <w:rsid w:val="009124EC"/>
    <w:rsid w:val="00915662"/>
    <w:rsid w:val="00997F65"/>
    <w:rsid w:val="009A4B13"/>
    <w:rsid w:val="009F5B8F"/>
    <w:rsid w:val="00A12DAE"/>
    <w:rsid w:val="00A608DC"/>
    <w:rsid w:val="00A7078E"/>
    <w:rsid w:val="00A97BF2"/>
    <w:rsid w:val="00AC2558"/>
    <w:rsid w:val="00AF15A6"/>
    <w:rsid w:val="00AF2668"/>
    <w:rsid w:val="00AF3C8C"/>
    <w:rsid w:val="00B13F0E"/>
    <w:rsid w:val="00B14C84"/>
    <w:rsid w:val="00B1759A"/>
    <w:rsid w:val="00B247A0"/>
    <w:rsid w:val="00B2658C"/>
    <w:rsid w:val="00BF6162"/>
    <w:rsid w:val="00C34FFB"/>
    <w:rsid w:val="00C356B6"/>
    <w:rsid w:val="00C92356"/>
    <w:rsid w:val="00CE20CA"/>
    <w:rsid w:val="00D01ABF"/>
    <w:rsid w:val="00D12A6E"/>
    <w:rsid w:val="00D4765A"/>
    <w:rsid w:val="00D847F7"/>
    <w:rsid w:val="00DA473D"/>
    <w:rsid w:val="00DD662F"/>
    <w:rsid w:val="00E714D3"/>
    <w:rsid w:val="00EA4F03"/>
    <w:rsid w:val="00F152B9"/>
    <w:rsid w:val="00F15442"/>
    <w:rsid w:val="00F25E30"/>
    <w:rsid w:val="00F41BEF"/>
    <w:rsid w:val="00F47D8D"/>
    <w:rsid w:val="00F801DD"/>
    <w:rsid w:val="00FB0257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499C"/>
  <w15:chartTrackingRefBased/>
  <w15:docId w15:val="{9CA95668-D079-40B1-865A-EF2F4038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5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5E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E30"/>
    <w:rPr>
      <w:b/>
      <w:bCs/>
    </w:rPr>
  </w:style>
  <w:style w:type="character" w:customStyle="1" w:styleId="21">
    <w:name w:val="Основной текст (2)_"/>
    <w:basedOn w:val="a0"/>
    <w:link w:val="22"/>
    <w:rsid w:val="00625E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5E2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6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6668"/>
  </w:style>
  <w:style w:type="paragraph" w:styleId="a7">
    <w:name w:val="footer"/>
    <w:basedOn w:val="a"/>
    <w:link w:val="a8"/>
    <w:uiPriority w:val="99"/>
    <w:unhideWhenUsed/>
    <w:rsid w:val="00006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Анаргуль Имашева</cp:lastModifiedBy>
  <cp:revision>11</cp:revision>
  <dcterms:created xsi:type="dcterms:W3CDTF">2026-02-19T04:05:00Z</dcterms:created>
  <dcterms:modified xsi:type="dcterms:W3CDTF">2026-03-04T11:57:00Z</dcterms:modified>
</cp:coreProperties>
</file>